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FE4A" w14:textId="77777777" w:rsidR="00322C13" w:rsidRPr="00322C13" w:rsidRDefault="00322C13" w:rsidP="00322C13">
      <w:pPr>
        <w:keepNext/>
        <w:keepLines/>
        <w:spacing w:line="228" w:lineRule="auto"/>
        <w:jc w:val="center"/>
        <w:rPr>
          <w:lang w:val="ru-RU"/>
        </w:rPr>
      </w:pPr>
      <w:r w:rsidRPr="00322C13">
        <w:rPr>
          <w:b/>
          <w:sz w:val="30"/>
          <w:lang w:val="ru-RU"/>
        </w:rPr>
        <w:t>ПРЕДУПРЕЖДЕНИЕ О РИСКАХ ЦИФРОВЫХ АКТИВОВ</w:t>
      </w:r>
    </w:p>
    <w:p w14:paraId="7B6B29D5" w14:textId="77777777" w:rsidR="00322C13" w:rsidRPr="00322C13" w:rsidRDefault="00322C13" w:rsidP="00322C13">
      <w:pPr>
        <w:keepNext/>
        <w:keepLines/>
        <w:pBdr>
          <w:bottom w:val="single" w:sz="4" w:space="5" w:color="000000"/>
        </w:pBdr>
        <w:spacing w:line="228" w:lineRule="auto"/>
        <w:jc w:val="center"/>
        <w:rPr>
          <w:lang w:val="ru-RU"/>
        </w:rPr>
      </w:pPr>
      <w:r w:rsidRPr="00322C13">
        <w:rPr>
          <w:b/>
          <w:sz w:val="18"/>
          <w:lang w:val="ru-RU"/>
        </w:rPr>
        <w:t xml:space="preserve">Нормативное основание: </w:t>
      </w:r>
      <w:r w:rsidRPr="00322C13">
        <w:rPr>
          <w:sz w:val="18"/>
          <w:lang w:val="ru-RU"/>
        </w:rPr>
        <w:t>Правила МФЦА по деятельности с цифровыми активами (</w:t>
      </w:r>
      <w:r>
        <w:rPr>
          <w:sz w:val="18"/>
        </w:rPr>
        <w:t>DAA</w:t>
      </w:r>
      <w:r w:rsidRPr="00322C13">
        <w:rPr>
          <w:sz w:val="18"/>
          <w:lang w:val="ru-RU"/>
        </w:rPr>
        <w:t>), Правила 4.6.1.-1(1) и 3.10.2(1).</w:t>
      </w:r>
    </w:p>
    <w:p w14:paraId="5930BF1F" w14:textId="77777777" w:rsidR="00322C13" w:rsidRPr="00322C13" w:rsidRDefault="00322C13" w:rsidP="00322C13">
      <w:pPr>
        <w:keepNext/>
        <w:keepLines/>
        <w:spacing w:line="228" w:lineRule="auto"/>
        <w:jc w:val="both"/>
        <w:rPr>
          <w:lang w:val="ru-RU"/>
        </w:rPr>
      </w:pPr>
      <w:r>
        <w:rPr>
          <w:b/>
          <w:sz w:val="18"/>
        </w:rPr>
        <w:t>Neomarkets</w:t>
      </w:r>
      <w:r w:rsidRPr="00322C13">
        <w:rPr>
          <w:b/>
          <w:sz w:val="18"/>
          <w:lang w:val="ru-RU"/>
        </w:rPr>
        <w:t xml:space="preserve"> </w:t>
      </w:r>
      <w:r>
        <w:rPr>
          <w:b/>
          <w:sz w:val="18"/>
        </w:rPr>
        <w:t>Ltd</w:t>
      </w:r>
      <w:r w:rsidRPr="00322C13">
        <w:rPr>
          <w:b/>
          <w:sz w:val="18"/>
          <w:lang w:val="ru-RU"/>
        </w:rPr>
        <w:t xml:space="preserve"> является поставщиком услуг цифровых активов (</w:t>
      </w:r>
      <w:r>
        <w:rPr>
          <w:b/>
          <w:sz w:val="18"/>
        </w:rPr>
        <w:t>DASP</w:t>
      </w:r>
      <w:r w:rsidRPr="00322C13">
        <w:rPr>
          <w:b/>
          <w:sz w:val="18"/>
          <w:lang w:val="ru-RU"/>
        </w:rPr>
        <w:t xml:space="preserve">), авторизованным </w:t>
      </w:r>
      <w:r>
        <w:rPr>
          <w:b/>
          <w:sz w:val="18"/>
        </w:rPr>
        <w:t>AFSA</w:t>
      </w:r>
      <w:r w:rsidRPr="00322C13">
        <w:rPr>
          <w:b/>
          <w:sz w:val="18"/>
          <w:lang w:val="ru-RU"/>
        </w:rPr>
        <w:t xml:space="preserve">, и Авторизованной фирмой МФЦА. </w:t>
      </w:r>
      <w:r w:rsidRPr="00322C13">
        <w:rPr>
          <w:sz w:val="18"/>
          <w:lang w:val="ru-RU"/>
        </w:rPr>
        <w:t xml:space="preserve">Настоящее предупреждение размещено в соответствии с Правилом </w:t>
      </w:r>
      <w:r>
        <w:rPr>
          <w:sz w:val="18"/>
        </w:rPr>
        <w:t>DAA</w:t>
      </w:r>
      <w:r w:rsidRPr="00322C13">
        <w:rPr>
          <w:sz w:val="18"/>
          <w:lang w:val="ru-RU"/>
        </w:rPr>
        <w:t xml:space="preserve"> 4.6.1.-1(1), применимым к Авторизованным фирмам, оказывающим денежные услуги в отношении цифровых активов, и Правилом </w:t>
      </w:r>
      <w:r>
        <w:rPr>
          <w:sz w:val="18"/>
        </w:rPr>
        <w:t>DAA</w:t>
      </w:r>
      <w:r w:rsidRPr="00322C13">
        <w:rPr>
          <w:sz w:val="18"/>
          <w:lang w:val="ru-RU"/>
        </w:rPr>
        <w:t xml:space="preserve"> 3.10.2(1). Ознакомьтесь с ним до использования услуг, связанных с цифровыми активами.</w:t>
      </w:r>
    </w:p>
    <w:tbl>
      <w:tblPr>
        <w:tblW w:w="10034" w:type="dxa"/>
        <w:jc w:val="center"/>
        <w:tblLayout w:type="fixed"/>
        <w:tblLook w:val="04A0" w:firstRow="1" w:lastRow="0" w:firstColumn="1" w:lastColumn="0" w:noHBand="0" w:noVBand="1"/>
      </w:tblPr>
      <w:tblGrid>
        <w:gridCol w:w="10034"/>
      </w:tblGrid>
      <w:tr w:rsidR="00322C13" w14:paraId="1140B215" w14:textId="77777777" w:rsidTr="001E2251">
        <w:trPr>
          <w:jc w:val="center"/>
        </w:trPr>
        <w:tc>
          <w:tcPr>
            <w:tcW w:w="100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0F415" w14:textId="77777777" w:rsidR="00322C13" w:rsidRDefault="00322C13" w:rsidP="001E2251">
            <w:pPr>
              <w:keepLines/>
              <w:spacing w:line="228" w:lineRule="auto"/>
              <w:jc w:val="center"/>
            </w:pPr>
            <w:r>
              <w:rPr>
                <w:b/>
                <w:sz w:val="21"/>
              </w:rPr>
              <w:t>ЦИФРОВЫЕ АКТИВЫ ЯВЛЯЮТСЯ ВЫСОКОРИСКОВЫМИ. ВЫ МОЖЕТЕ ПОЛНОСТЬЮ УТРАТИТЬ ЦИФРОВЫЕ АКТИВЫ, ЗАДЕЙСТВОВАННЫЕ В ОПЕРАЦИИ.</w:t>
            </w:r>
          </w:p>
        </w:tc>
      </w:tr>
    </w:tbl>
    <w:p w14:paraId="79FC8B0B" w14:textId="77777777" w:rsidR="00322C13" w:rsidRDefault="00322C13" w:rsidP="00322C13">
      <w:pPr>
        <w:keepLines/>
        <w:spacing w:line="120" w:lineRule="auto"/>
      </w:pPr>
    </w:p>
    <w:tbl>
      <w:tblPr>
        <w:tblW w:w="1003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9683"/>
      </w:tblGrid>
      <w:tr w:rsidR="00322C13" w14:paraId="2F63189F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F26C5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F447D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Правовой статус и государственные гарантии. </w:t>
            </w:r>
            <w:r>
              <w:rPr>
                <w:sz w:val="18"/>
              </w:rPr>
              <w:t>Цифровые активы, как правило, не являются законным платежным средством и не обеспечиваются и не гарантируются государством.</w:t>
            </w:r>
          </w:p>
        </w:tc>
      </w:tr>
      <w:tr w:rsidR="00322C13" w14:paraId="57A05641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461DC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ADD16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Ценовая волатильность и риск стейблкоинов. </w:t>
            </w:r>
            <w:r>
              <w:rPr>
                <w:sz w:val="18"/>
              </w:rPr>
              <w:t>Стоимость цифровых активов может резко и без предупреждения увеличиваться или снижаться. Фиатный или товарный стейблкоин может утратить привязку и не погашаться по ожидаемой стоимости.</w:t>
            </w:r>
          </w:p>
        </w:tc>
      </w:tr>
      <w:tr w:rsidR="00322C13" w14:paraId="7EAE0B40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9DD78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226FA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Риск полной утраты. </w:t>
            </w:r>
            <w:r>
              <w:rPr>
                <w:sz w:val="18"/>
              </w:rPr>
              <w:t>Вы можете потерять всю стоимость или часть стоимости цифровых активов, задействованных в операции. Их стоимость, доступность и восстановление не гарантируются.</w:t>
            </w:r>
          </w:p>
        </w:tc>
      </w:tr>
      <w:tr w:rsidR="00322C13" w14:paraId="32A09855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28C8F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742F5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Ликвидность и возможность передачи. </w:t>
            </w:r>
            <w:r>
              <w:rPr>
                <w:sz w:val="18"/>
              </w:rPr>
              <w:t>Покупка, продажа, обмен, перевод или погашение цифрового актива в ожидаемый срок или по ожидаемой цене могут стать затруднительными или невозможными.</w:t>
            </w:r>
          </w:p>
        </w:tc>
      </w:tr>
      <w:tr w:rsidR="00322C13" w14:paraId="0FBF8036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0BAF0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05CA8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Сложность и поведение рынка. </w:t>
            </w:r>
            <w:r>
              <w:rPr>
                <w:sz w:val="18"/>
              </w:rPr>
              <w:t>Цифровые активы могут быть сложными и трудными для оценки, а торговля ими может зависеть от нерационального поведения рынка. Операции с цифровыми активами несопоставимы с традиционными инвестициями, включая ценные бумаги.</w:t>
            </w:r>
          </w:p>
        </w:tc>
      </w:tr>
      <w:tr w:rsidR="00322C13" w14:paraId="11CBDFF1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64FBD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DE15F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Кибербезопасность и хищение. </w:t>
            </w:r>
            <w:r>
              <w:rPr>
                <w:sz w:val="18"/>
              </w:rPr>
              <w:t>Цифровые активы и связанные системы могут подвергаться взлому, мошенничеству, вредоносному программному обеспечению, фишингу, несанкционированному доступу и иным киберинцидентам. Активы могут быть похищены или стать безвозвратно недоступными.</w:t>
            </w:r>
          </w:p>
        </w:tc>
      </w:tr>
      <w:tr w:rsidR="00322C13" w14:paraId="01894E6D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ADFA4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26E2C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Утрата и ограниченное восстановление. </w:t>
            </w:r>
            <w:r>
              <w:rPr>
                <w:sz w:val="18"/>
              </w:rPr>
              <w:t>Если цифровые активы утрачены, направлены на неверный адрес, переведены через неподдерживаемую сеть или похищены, их восстановление может быть ограничено или невозможно.</w:t>
            </w:r>
          </w:p>
        </w:tc>
      </w:tr>
      <w:tr w:rsidR="00322C13" w14:paraId="4FD3F17C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2672B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C9F9D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Анонимность, необратимость и ошибочные операции. </w:t>
            </w:r>
            <w:r>
              <w:rPr>
                <w:sz w:val="18"/>
              </w:rPr>
              <w:t>Операции с цифровыми активами могут быть анонимными и после отправки или подтверждения стать необратимыми. Неверные адреса кошельков, сети, суммы или инструкции, а также сбои учёта или расчётов могут привести к безвозвратной утрате.</w:t>
            </w:r>
          </w:p>
        </w:tc>
      </w:tr>
      <w:tr w:rsidR="00322C13" w14:paraId="48FECEAE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40106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7EC3E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Технологические и сетевые риски. </w:t>
            </w:r>
            <w:r>
              <w:rPr>
                <w:sz w:val="18"/>
              </w:rPr>
              <w:t>Блокчейн-сети, цифровые кошельки, приложения, Neomarkets Ltd, кастодианы и иные поставщики услуг могут сталкиваться со сбоями, задержками, перегрузкой, форками, дефектами программного обеспечения и иными нарушениями, препятствующими или задерживающими доступ, переводы или расчёты.</w:t>
            </w:r>
          </w:p>
        </w:tc>
      </w:tr>
      <w:tr w:rsidR="00322C13" w14:paraId="20BD55A4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BBFFA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0C0B2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Кастодиальные риски и риски третьих лиц. </w:t>
            </w:r>
            <w:r>
              <w:rPr>
                <w:sz w:val="18"/>
              </w:rPr>
              <w:t>Neomarkets Ltd может привлекать сторонних поставщиков услуг, включая кастодианов. Их операционные, финансовые, юридические проблемы или нарушения кибербезопасности могут повлиять на доступ к цифровым активам или их сохранность.</w:t>
            </w:r>
          </w:p>
        </w:tc>
      </w:tr>
      <w:tr w:rsidR="00322C13" w14:paraId="1B7EAD15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B3A6A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CB312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Риск финансовых преступлений и санкций. </w:t>
            </w:r>
            <w:r>
              <w:rPr>
                <w:sz w:val="18"/>
              </w:rPr>
              <w:t>Цифровые активы могут повышать риск мошенничества, отмывания денег, финансирования терроризма, обхода санкций и иной незаконной деятельности. Операции могут быть задержаны, отклонены или заморожены, а сведения о них — переданы уполномоченным органам в предусмотренных случаях.</w:t>
            </w:r>
          </w:p>
        </w:tc>
      </w:tr>
      <w:tr w:rsidR="00322C13" w14:paraId="32FC5A0B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2B58D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12.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BC187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Регуляторный и налоговый риск. </w:t>
            </w:r>
            <w:r>
              <w:rPr>
                <w:sz w:val="18"/>
              </w:rPr>
              <w:t>Правовой, регуляторный и налоговый режим цифровых активов может изменяться. Изменения могут ограничить услуги, повлиять на стоимость активов либо повлечь дополнительные обязательства или расходы.</w:t>
            </w:r>
          </w:p>
        </w:tc>
      </w:tr>
      <w:tr w:rsidR="00322C13" w14:paraId="67671B96" w14:textId="77777777" w:rsidTr="001E2251">
        <w:trPr>
          <w:jc w:val="center"/>
        </w:trPr>
        <w:tc>
          <w:tcPr>
            <w:tcW w:w="3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73788" w14:textId="77777777" w:rsidR="00322C13" w:rsidRDefault="00322C13" w:rsidP="001E2251">
            <w:pPr>
              <w:keepLines/>
              <w:spacing w:line="228" w:lineRule="auto"/>
              <w:jc w:val="right"/>
            </w:pPr>
            <w:r>
              <w:rPr>
                <w:b/>
                <w:sz w:val="18"/>
              </w:rPr>
              <w:t>13.</w:t>
            </w:r>
          </w:p>
        </w:tc>
        <w:tc>
          <w:tcPr>
            <w:tcW w:w="9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A2697" w14:textId="77777777" w:rsidR="00322C13" w:rsidRDefault="00322C13" w:rsidP="001E2251">
            <w:pPr>
              <w:keepLines/>
              <w:spacing w:line="228" w:lineRule="auto"/>
            </w:pPr>
            <w:r>
              <w:rPr>
                <w:b/>
                <w:sz w:val="18"/>
              </w:rPr>
              <w:t xml:space="preserve">Отсутствие признанной системы компенсации. </w:t>
            </w:r>
            <w:r>
              <w:rPr>
                <w:sz w:val="18"/>
              </w:rPr>
              <w:t>В отношении убытков, связанных с цифровыми активами, может отсутствовать признанная система компенсации или защиты депозитов, предусматривающая возмещение убытков Клиенту.</w:t>
            </w:r>
          </w:p>
        </w:tc>
      </w:tr>
    </w:tbl>
    <w:p w14:paraId="799A3430" w14:textId="77777777" w:rsidR="00322C13" w:rsidRDefault="00322C13" w:rsidP="00322C13">
      <w:pPr>
        <w:keepLines/>
        <w:spacing w:line="228" w:lineRule="auto"/>
        <w:jc w:val="both"/>
      </w:pPr>
      <w:r>
        <w:rPr>
          <w:b/>
          <w:sz w:val="18"/>
        </w:rPr>
        <w:t xml:space="preserve">Важно: </w:t>
      </w:r>
      <w:r>
        <w:rPr>
          <w:sz w:val="18"/>
        </w:rPr>
        <w:t>Настоящее предупреждение не является исчерпывающим и не представляет собой юридическую, налоговую, финансовую или инвестиционную консультацию. Пользуйтесь услугами, связанными с цифровыми активами, только если вы понимаете соответствующие технологии и риски и способны принять риск полной утраты активов. Документ охватывает риски, предусмотренные Правилами DAA 4.6.1.-1(1)(a)-(i) и 3.10.2(1)(a)-(m).</w:t>
      </w:r>
    </w:p>
    <w:p w14:paraId="400A0D68" w14:textId="77777777" w:rsidR="00270F7F" w:rsidRDefault="00270F7F"/>
    <w:sectPr w:rsidR="00270F7F" w:rsidSect="00322C13">
      <w:headerReference w:type="default" r:id="rId4"/>
      <w:footerReference w:type="default" r:id="rId5"/>
      <w:pgSz w:w="11906" w:h="16838"/>
      <w:pgMar w:top="765" w:right="935" w:bottom="765" w:left="935" w:header="369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B1C1" w14:textId="77777777" w:rsidR="00322C13" w:rsidRDefault="00322C13">
    <w:pPr>
      <w:pStyle w:val="ae"/>
      <w:keepLines/>
      <w:spacing w:line="228" w:lineRule="auto"/>
    </w:pPr>
    <w:r>
      <w:rPr>
        <w:sz w:val="16"/>
      </w:rPr>
      <w:t>Neomarkets Ltd. | Авторизованная фирма AFSA и поставщик услуг цифровых активов (DASP) | Лицензия № AFSA-A-LA-2023-0003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0874" w14:textId="77777777" w:rsidR="00322C13" w:rsidRDefault="00322C13">
    <w:pPr>
      <w:pStyle w:val="ac"/>
      <w:keepLines/>
      <w:pBdr>
        <w:bottom w:val="single" w:sz="8" w:space="4" w:color="000000"/>
      </w:pBdr>
      <w:spacing w:after="40"/>
    </w:pPr>
    <w:r>
      <w:rPr>
        <w:b/>
        <w:sz w:val="18"/>
      </w:rPr>
      <w:t>NEOMARKETS 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FD"/>
    <w:rsid w:val="00090314"/>
    <w:rsid w:val="00270F7F"/>
    <w:rsid w:val="00322C13"/>
    <w:rsid w:val="00B011FD"/>
    <w:rsid w:val="00E3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7125"/>
  <w15:chartTrackingRefBased/>
  <w15:docId w15:val="{8A6A5B8C-233B-4E7B-BF92-C9A0F00D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C13"/>
    <w:pPr>
      <w:spacing w:after="0" w:line="240" w:lineRule="auto"/>
    </w:pPr>
    <w:rPr>
      <w:rFonts w:ascii="Arial" w:eastAsia="Arial" w:hAnsi="Arial"/>
      <w:color w:val="000000"/>
      <w:kern w:val="0"/>
      <w:sz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1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1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1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1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1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1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1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1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1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1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1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1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1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1F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1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1FD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11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11FD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kern w:val="2"/>
      <w:sz w:val="2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B011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11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11F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22C13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2C13"/>
    <w:rPr>
      <w:rFonts w:ascii="Arial" w:eastAsia="Arial" w:hAnsi="Arial"/>
      <w:color w:val="000000"/>
      <w:kern w:val="0"/>
      <w:sz w:val="20"/>
      <w:lang w:val="en-US"/>
      <w14:ligatures w14:val="none"/>
    </w:rPr>
  </w:style>
  <w:style w:type="paragraph" w:styleId="ae">
    <w:name w:val="footer"/>
    <w:basedOn w:val="a"/>
    <w:link w:val="af"/>
    <w:uiPriority w:val="99"/>
    <w:unhideWhenUsed/>
    <w:rsid w:val="00322C13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2C13"/>
    <w:rPr>
      <w:rFonts w:ascii="Arial" w:eastAsia="Arial" w:hAnsi="Arial"/>
      <w:color w:val="000000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 Tashmagambetov</dc:creator>
  <cp:keywords/>
  <dc:description/>
  <cp:lastModifiedBy>Ayan Tashmagambetov</cp:lastModifiedBy>
  <cp:revision>2</cp:revision>
  <dcterms:created xsi:type="dcterms:W3CDTF">2026-07-01T12:08:00Z</dcterms:created>
  <dcterms:modified xsi:type="dcterms:W3CDTF">2026-07-01T12:08:00Z</dcterms:modified>
</cp:coreProperties>
</file>